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Guidance on Illness  in school </w:t>
      </w:r>
      <w:bookmarkStart w:id="0" w:name="_GoBack"/>
      <w:bookmarkEnd w:id="0"/>
    </w:p>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sz w:val="24"/>
          <w:szCs w:val="24"/>
          <w:lang w:eastAsia="en-GB"/>
        </w:rPr>
        <w:t>This Table was taken from </w:t>
      </w:r>
      <w:hyperlink r:id="rId4" w:history="1">
        <w:r w:rsidRPr="00DB59B0">
          <w:rPr>
            <w:rFonts w:ascii="Arial" w:eastAsia="Times New Roman" w:hAnsi="Arial" w:cs="Arial"/>
            <w:color w:val="363C93"/>
            <w:sz w:val="27"/>
            <w:szCs w:val="27"/>
            <w:lang w:eastAsia="en-GB"/>
          </w:rPr>
          <w:t>Public Health England’s Website</w:t>
        </w:r>
      </w:hyperlink>
      <w:r w:rsidRPr="00DB59B0">
        <w:rPr>
          <w:rFonts w:ascii="Arial" w:eastAsia="Times New Roman" w:hAnsi="Arial" w:cs="Arial"/>
          <w:sz w:val="24"/>
          <w:szCs w:val="24"/>
          <w:lang w:eastAsia="en-GB"/>
        </w:rPr>
        <w:t>.</w:t>
      </w:r>
    </w:p>
    <w:p w:rsidR="00DB59B0" w:rsidRDefault="00DB59B0" w:rsidP="00DB59B0">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p>
    <w:p w:rsidR="00DB59B0" w:rsidRDefault="00DB59B0" w:rsidP="00DB59B0">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Rashes and skin infection</w:t>
      </w:r>
    </w:p>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sz w:val="24"/>
          <w:szCs w:val="24"/>
          <w:lang w:eastAsia="en-GB"/>
        </w:rPr>
        <w:t>Children with rashes should be considered infectious and assessed by their doctor.</w:t>
      </w:r>
    </w:p>
    <w:tbl>
      <w:tblPr>
        <w:tblW w:w="10515" w:type="dxa"/>
        <w:tblInd w:w="-750"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2954"/>
        <w:gridCol w:w="5204"/>
      </w:tblGrid>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Infection or complaint</w:t>
            </w:r>
          </w:p>
        </w:tc>
        <w:tc>
          <w:tcPr>
            <w:tcW w:w="295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Recommended period to be kept away from school, nursery or childminders</w:t>
            </w:r>
          </w:p>
        </w:tc>
        <w:tc>
          <w:tcPr>
            <w:tcW w:w="520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Comments</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Athlete’s foot</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Athlete’s foot is not a serious condition. Treatment is recommended</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Chickenpox</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Until all vesicles have crusted over</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i/>
                <w:iCs/>
                <w:color w:val="333333"/>
                <w:sz w:val="24"/>
                <w:szCs w:val="24"/>
                <w:lang w:eastAsia="en-GB"/>
              </w:rPr>
              <w:t>See: Vulnerable Children and Female Staff –Pregnancy</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Cold sores, (Herpes simplex)</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Avoid kissing and contact with the sores. Cold sores are generally mild and self-limiting</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German measles(rubella)*</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Four days from onset of rash (as per “</w:t>
            </w:r>
            <w:proofErr w:type="spellStart"/>
            <w:r w:rsidRPr="00DB59B0">
              <w:rPr>
                <w:rFonts w:ascii="Arial" w:eastAsia="Times New Roman" w:hAnsi="Arial" w:cs="Arial"/>
                <w:color w:val="333333"/>
                <w:sz w:val="24"/>
                <w:szCs w:val="24"/>
                <w:lang w:eastAsia="en-GB"/>
              </w:rPr>
              <w:fldChar w:fldCharType="begin"/>
            </w:r>
            <w:r w:rsidRPr="00DB59B0">
              <w:rPr>
                <w:rFonts w:ascii="Arial" w:eastAsia="Times New Roman" w:hAnsi="Arial" w:cs="Arial"/>
                <w:color w:val="333333"/>
                <w:sz w:val="24"/>
                <w:szCs w:val="24"/>
                <w:lang w:eastAsia="en-GB"/>
              </w:rPr>
              <w:instrText xml:space="preserve"> HYPERLINK "https://www.gov.uk/government/collections/immunisation-against-infectious-disease-the-green-book" </w:instrText>
            </w:r>
            <w:r w:rsidRPr="00DB59B0">
              <w:rPr>
                <w:rFonts w:ascii="Arial" w:eastAsia="Times New Roman" w:hAnsi="Arial" w:cs="Arial"/>
                <w:color w:val="333333"/>
                <w:sz w:val="24"/>
                <w:szCs w:val="24"/>
                <w:lang w:eastAsia="en-GB"/>
              </w:rPr>
              <w:fldChar w:fldCharType="separate"/>
            </w:r>
            <w:r w:rsidRPr="00DB59B0">
              <w:rPr>
                <w:rFonts w:ascii="Arial" w:eastAsia="Times New Roman" w:hAnsi="Arial" w:cs="Arial"/>
                <w:color w:val="363C93"/>
                <w:sz w:val="27"/>
                <w:szCs w:val="27"/>
                <w:lang w:eastAsia="en-GB"/>
              </w:rPr>
              <w:t>Green</w:t>
            </w:r>
            <w:r w:rsidRPr="00DB59B0">
              <w:rPr>
                <w:rFonts w:ascii="Arial" w:eastAsia="Times New Roman" w:hAnsi="Arial" w:cs="Arial"/>
                <w:color w:val="333333"/>
                <w:sz w:val="24"/>
                <w:szCs w:val="24"/>
                <w:lang w:eastAsia="en-GB"/>
              </w:rPr>
              <w:fldChar w:fldCharType="end"/>
            </w:r>
            <w:hyperlink r:id="rId5" w:history="1">
              <w:r w:rsidRPr="00DB59B0">
                <w:rPr>
                  <w:rFonts w:ascii="Arial" w:eastAsia="Times New Roman" w:hAnsi="Arial" w:cs="Arial"/>
                  <w:color w:val="363C93"/>
                  <w:sz w:val="27"/>
                  <w:szCs w:val="27"/>
                  <w:lang w:eastAsia="en-GB"/>
                </w:rPr>
                <w:t>Book</w:t>
              </w:r>
              <w:proofErr w:type="spellEnd"/>
              <w:r w:rsidRPr="00DB59B0">
                <w:rPr>
                  <w:rFonts w:ascii="Arial" w:eastAsia="Times New Roman" w:hAnsi="Arial" w:cs="Arial"/>
                  <w:color w:val="363C93"/>
                  <w:sz w:val="27"/>
                  <w:szCs w:val="27"/>
                  <w:lang w:eastAsia="en-GB"/>
                </w:rPr>
                <w:t>”</w:t>
              </w:r>
            </w:hyperlink>
            <w:r w:rsidRPr="00DB59B0">
              <w:rPr>
                <w:rFonts w:ascii="Arial" w:eastAsia="Times New Roman" w:hAnsi="Arial" w:cs="Arial"/>
                <w:color w:val="333333"/>
                <w:sz w:val="24"/>
                <w:szCs w:val="24"/>
                <w:lang w:eastAsia="en-GB"/>
              </w:rPr>
              <w:t>)</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Preventable by immunisation (MMR x2 doses). </w:t>
            </w:r>
            <w:r w:rsidRPr="00DB59B0">
              <w:rPr>
                <w:rFonts w:ascii="Arial" w:eastAsia="Times New Roman" w:hAnsi="Arial" w:cs="Arial"/>
                <w:i/>
                <w:iCs/>
                <w:color w:val="333333"/>
                <w:sz w:val="24"/>
                <w:szCs w:val="24"/>
                <w:lang w:eastAsia="en-GB"/>
              </w:rPr>
              <w:t>See: Female Staff – Pregnancy</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Hand, foot and mouth</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Contact your local HPT if a large number of children are affected. Exclusion may be considered in some circumstances</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Impetigo</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Until lesions are crusted and healed, or 48 hours after starting </w:t>
            </w:r>
            <w:proofErr w:type="spellStart"/>
            <w:r w:rsidRPr="00DB59B0">
              <w:rPr>
                <w:rFonts w:ascii="Arial" w:eastAsia="Times New Roman" w:hAnsi="Arial" w:cs="Arial"/>
                <w:color w:val="333333"/>
                <w:sz w:val="24"/>
                <w:szCs w:val="24"/>
                <w:lang w:eastAsia="en-GB"/>
              </w:rPr>
              <w:t>antibiotictreatment</w:t>
            </w:r>
            <w:proofErr w:type="spellEnd"/>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Antibiotic treatment speeds healing and reduces the infectious period</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Measles*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Four days from onset of rash</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Preventable by vaccination (MMR x2). </w:t>
            </w:r>
            <w:r w:rsidRPr="00DB59B0">
              <w:rPr>
                <w:rFonts w:ascii="Arial" w:eastAsia="Times New Roman" w:hAnsi="Arial" w:cs="Arial"/>
                <w:i/>
                <w:iCs/>
                <w:color w:val="333333"/>
                <w:sz w:val="24"/>
                <w:szCs w:val="24"/>
                <w:lang w:eastAsia="en-GB"/>
              </w:rPr>
              <w:t>See: Vulnerable Children and Female Staff –Pregnancy</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proofErr w:type="spellStart"/>
            <w:r w:rsidRPr="00DB59B0">
              <w:rPr>
                <w:rFonts w:ascii="Arial" w:eastAsia="Times New Roman" w:hAnsi="Arial" w:cs="Arial"/>
                <w:b/>
                <w:bCs/>
                <w:color w:val="333333"/>
                <w:sz w:val="24"/>
                <w:szCs w:val="24"/>
                <w:lang w:eastAsia="en-GB"/>
              </w:rPr>
              <w:t>Molluscum</w:t>
            </w:r>
            <w:proofErr w:type="spellEnd"/>
            <w:r w:rsidRPr="00DB59B0">
              <w:rPr>
                <w:rFonts w:ascii="Arial" w:eastAsia="Times New Roman" w:hAnsi="Arial" w:cs="Arial"/>
                <w:b/>
                <w:bCs/>
                <w:color w:val="333333"/>
                <w:sz w:val="24"/>
                <w:szCs w:val="24"/>
                <w:lang w:eastAsia="en-GB"/>
              </w:rPr>
              <w:t xml:space="preserve"> </w:t>
            </w:r>
            <w:proofErr w:type="spellStart"/>
            <w:r w:rsidRPr="00DB59B0">
              <w:rPr>
                <w:rFonts w:ascii="Arial" w:eastAsia="Times New Roman" w:hAnsi="Arial" w:cs="Arial"/>
                <w:b/>
                <w:bCs/>
                <w:color w:val="333333"/>
                <w:sz w:val="24"/>
                <w:szCs w:val="24"/>
                <w:lang w:eastAsia="en-GB"/>
              </w:rPr>
              <w:t>contagiosum</w:t>
            </w:r>
            <w:proofErr w:type="spellEnd"/>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A self-limiting condition</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Ringworm</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Exclusion not usually required</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Treatment is required</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Roseola (</w:t>
            </w:r>
            <w:proofErr w:type="spellStart"/>
            <w:r w:rsidRPr="00DB59B0">
              <w:rPr>
                <w:rFonts w:ascii="Arial" w:eastAsia="Times New Roman" w:hAnsi="Arial" w:cs="Arial"/>
                <w:b/>
                <w:bCs/>
                <w:color w:val="333333"/>
                <w:sz w:val="24"/>
                <w:szCs w:val="24"/>
                <w:lang w:eastAsia="en-GB"/>
              </w:rPr>
              <w:t>infantum</w:t>
            </w:r>
            <w:proofErr w:type="spellEnd"/>
            <w:r w:rsidRPr="00DB59B0">
              <w:rPr>
                <w:rFonts w:ascii="Arial" w:eastAsia="Times New Roman" w:hAnsi="Arial" w:cs="Arial"/>
                <w:b/>
                <w:bCs/>
                <w:color w:val="333333"/>
                <w:sz w:val="24"/>
                <w:szCs w:val="24"/>
                <w:lang w:eastAsia="en-GB"/>
              </w:rPr>
              <w:t>)</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Scabies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Child can return after first treatment</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Household and close contacts require treatment</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Scarlet fever*</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Child can return 24 hours after starting appropriate </w:t>
            </w:r>
            <w:proofErr w:type="spellStart"/>
            <w:r w:rsidRPr="00DB59B0">
              <w:rPr>
                <w:rFonts w:ascii="Arial" w:eastAsia="Times New Roman" w:hAnsi="Arial" w:cs="Arial"/>
                <w:color w:val="333333"/>
                <w:sz w:val="24"/>
                <w:szCs w:val="24"/>
                <w:lang w:eastAsia="en-GB"/>
              </w:rPr>
              <w:t>antibiotictreatment</w:t>
            </w:r>
            <w:proofErr w:type="spellEnd"/>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Antibiotic treatment is recommended for the affected child</w:t>
            </w:r>
          </w:p>
        </w:tc>
      </w:tr>
    </w:tbl>
    <w:p w:rsidR="00DB59B0" w:rsidRPr="00DB59B0" w:rsidRDefault="00DB59B0" w:rsidP="00DB59B0">
      <w:pPr>
        <w:spacing w:after="0" w:line="240" w:lineRule="auto"/>
        <w:rPr>
          <w:rFonts w:ascii="Times New Roman" w:eastAsia="Times New Roman" w:hAnsi="Times New Roman" w:cs="Times New Roman"/>
          <w:vanish/>
          <w:sz w:val="24"/>
          <w:szCs w:val="24"/>
          <w:lang w:eastAsia="en-GB"/>
        </w:rPr>
      </w:pPr>
    </w:p>
    <w:tbl>
      <w:tblPr>
        <w:tblW w:w="10515" w:type="dxa"/>
        <w:tblInd w:w="-750"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2954"/>
        <w:gridCol w:w="5204"/>
      </w:tblGrid>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lang w:eastAsia="en-GB"/>
              </w:rPr>
              <w:t>Slapped cheek/fifth disease. ParvovirusB19</w:t>
            </w:r>
          </w:p>
        </w:tc>
        <w:tc>
          <w:tcPr>
            <w:tcW w:w="295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color w:val="FFFFFF"/>
                <w:sz w:val="24"/>
                <w:szCs w:val="24"/>
                <w:lang w:eastAsia="en-GB"/>
              </w:rPr>
              <w:t>None (once rash has developed)</w:t>
            </w:r>
          </w:p>
        </w:tc>
        <w:tc>
          <w:tcPr>
            <w:tcW w:w="520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i/>
                <w:iCs/>
                <w:color w:val="FFFFFF"/>
                <w:sz w:val="24"/>
                <w:szCs w:val="24"/>
                <w:lang w:eastAsia="en-GB"/>
              </w:rPr>
              <w:t>See: Vulnerable Children and Female Staff –Pregnancy</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lastRenderedPageBreak/>
              <w:t>Shingles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Exclude only if rash is weeping and cannot be covered</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Can cause chickenpox in those who are not immune, </w:t>
            </w:r>
            <w:proofErr w:type="spellStart"/>
            <w:r w:rsidRPr="00DB59B0">
              <w:rPr>
                <w:rFonts w:ascii="Arial" w:eastAsia="Times New Roman" w:hAnsi="Arial" w:cs="Arial"/>
                <w:color w:val="333333"/>
                <w:sz w:val="24"/>
                <w:szCs w:val="24"/>
                <w:lang w:eastAsia="en-GB"/>
              </w:rPr>
              <w:t>ie</w:t>
            </w:r>
            <w:proofErr w:type="spellEnd"/>
            <w:r w:rsidRPr="00DB59B0">
              <w:rPr>
                <w:rFonts w:ascii="Arial" w:eastAsia="Times New Roman" w:hAnsi="Arial" w:cs="Arial"/>
                <w:color w:val="333333"/>
                <w:sz w:val="24"/>
                <w:szCs w:val="24"/>
                <w:lang w:eastAsia="en-GB"/>
              </w:rPr>
              <w:t xml:space="preserve"> have not had chickenpox. It is spread by very close contact and touch. If further information is required, contact your local PHE centre. </w:t>
            </w:r>
            <w:r w:rsidRPr="00DB59B0">
              <w:rPr>
                <w:rFonts w:ascii="Arial" w:eastAsia="Times New Roman" w:hAnsi="Arial" w:cs="Arial"/>
                <w:i/>
                <w:iCs/>
                <w:color w:val="333333"/>
                <w:sz w:val="24"/>
                <w:szCs w:val="24"/>
                <w:lang w:eastAsia="en-GB"/>
              </w:rPr>
              <w:t xml:space="preserve">See: Vulnerable </w:t>
            </w:r>
            <w:proofErr w:type="spellStart"/>
            <w:r w:rsidRPr="00DB59B0">
              <w:rPr>
                <w:rFonts w:ascii="Arial" w:eastAsia="Times New Roman" w:hAnsi="Arial" w:cs="Arial"/>
                <w:i/>
                <w:iCs/>
                <w:color w:val="333333"/>
                <w:sz w:val="24"/>
                <w:szCs w:val="24"/>
                <w:lang w:eastAsia="en-GB"/>
              </w:rPr>
              <w:t>Childrenand</w:t>
            </w:r>
            <w:proofErr w:type="spellEnd"/>
            <w:r w:rsidRPr="00DB59B0">
              <w:rPr>
                <w:rFonts w:ascii="Arial" w:eastAsia="Times New Roman" w:hAnsi="Arial" w:cs="Arial"/>
                <w:i/>
                <w:iCs/>
                <w:color w:val="333333"/>
                <w:sz w:val="24"/>
                <w:szCs w:val="24"/>
                <w:lang w:eastAsia="en-GB"/>
              </w:rPr>
              <w:t xml:space="preserve"> Female Staff – Pregnancy</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Warts and verrucae</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Verrucae should be covered in swimming pools, gymnasiums and changing rooms</w:t>
            </w:r>
          </w:p>
        </w:tc>
      </w:tr>
    </w:tbl>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sz w:val="24"/>
          <w:szCs w:val="24"/>
          <w:lang w:eastAsia="en-GB"/>
        </w:rPr>
        <w:t> </w:t>
      </w:r>
    </w:p>
    <w:tbl>
      <w:tblPr>
        <w:tblpPr w:leftFromText="180" w:rightFromText="180" w:vertAnchor="text" w:horzAnchor="margin" w:tblpXSpec="center" w:tblpY="377"/>
        <w:tblW w:w="1051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2954"/>
        <w:gridCol w:w="5204"/>
      </w:tblGrid>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Infection or complaint</w:t>
            </w:r>
          </w:p>
        </w:tc>
        <w:tc>
          <w:tcPr>
            <w:tcW w:w="295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 xml:space="preserve">Recommended period to be kept away from school, nursery </w:t>
            </w:r>
            <w:proofErr w:type="spellStart"/>
            <w:r w:rsidRPr="00DB59B0">
              <w:rPr>
                <w:rFonts w:ascii="Arial" w:eastAsia="Times New Roman" w:hAnsi="Arial" w:cs="Arial"/>
                <w:b/>
                <w:bCs/>
                <w:color w:val="FFFFFF"/>
                <w:sz w:val="24"/>
                <w:szCs w:val="24"/>
                <w:u w:val="single"/>
                <w:lang w:eastAsia="en-GB"/>
              </w:rPr>
              <w:t>orchildminders</w:t>
            </w:r>
            <w:proofErr w:type="spellEnd"/>
          </w:p>
        </w:tc>
        <w:tc>
          <w:tcPr>
            <w:tcW w:w="520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Commen</w:t>
            </w:r>
            <w:r w:rsidRPr="00DB59B0">
              <w:rPr>
                <w:rFonts w:ascii="Arial" w:eastAsia="Times New Roman" w:hAnsi="Arial" w:cs="Arial"/>
                <w:b/>
                <w:bCs/>
                <w:color w:val="FFFFFF"/>
                <w:sz w:val="24"/>
                <w:szCs w:val="24"/>
                <w:lang w:eastAsia="en-GB"/>
              </w:rPr>
              <w:t>ts</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Diarrhoea and/or vomiting</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48 hours from last episode of diarrhoea </w:t>
            </w:r>
            <w:proofErr w:type="spellStart"/>
            <w:r w:rsidRPr="00DB59B0">
              <w:rPr>
                <w:rFonts w:ascii="Arial" w:eastAsia="Times New Roman" w:hAnsi="Arial" w:cs="Arial"/>
                <w:color w:val="333333"/>
                <w:sz w:val="24"/>
                <w:szCs w:val="24"/>
                <w:lang w:eastAsia="en-GB"/>
              </w:rPr>
              <w:t>orvomiting</w:t>
            </w:r>
            <w:proofErr w:type="spellEnd"/>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i/>
                <w:iCs/>
                <w:color w:val="333333"/>
                <w:sz w:val="24"/>
                <w:szCs w:val="24"/>
                <w:lang w:eastAsia="en-GB"/>
              </w:rPr>
              <w:t>E. coli </w:t>
            </w:r>
            <w:r w:rsidRPr="00DB59B0">
              <w:rPr>
                <w:rFonts w:ascii="Arial" w:eastAsia="Times New Roman" w:hAnsi="Arial" w:cs="Arial"/>
                <w:b/>
                <w:bCs/>
                <w:color w:val="333333"/>
                <w:sz w:val="24"/>
                <w:szCs w:val="24"/>
                <w:lang w:eastAsia="en-GB"/>
              </w:rPr>
              <w:t xml:space="preserve">O157 VTEC Typhoid* [and paratyphoid*] (enteric fever) </w:t>
            </w:r>
            <w:proofErr w:type="spellStart"/>
            <w:r w:rsidRPr="00DB59B0">
              <w:rPr>
                <w:rFonts w:ascii="Arial" w:eastAsia="Times New Roman" w:hAnsi="Arial" w:cs="Arial"/>
                <w:b/>
                <w:bCs/>
                <w:color w:val="333333"/>
                <w:sz w:val="24"/>
                <w:szCs w:val="24"/>
                <w:lang w:eastAsia="en-GB"/>
              </w:rPr>
              <w:t>Shigella</w:t>
            </w:r>
            <w:proofErr w:type="spellEnd"/>
            <w:r w:rsidRPr="00DB59B0">
              <w:rPr>
                <w:rFonts w:ascii="Arial" w:eastAsia="Times New Roman" w:hAnsi="Arial" w:cs="Arial"/>
                <w:b/>
                <w:bCs/>
                <w:color w:val="333333"/>
                <w:sz w:val="24"/>
                <w:szCs w:val="24"/>
                <w:lang w:eastAsia="en-GB"/>
              </w:rPr>
              <w:t>(dysentery)</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Should be excluded for48 hours from the last episode of diarrhoea. Further exclusion may be required for </w:t>
            </w:r>
            <w:proofErr w:type="spellStart"/>
            <w:r w:rsidRPr="00DB59B0">
              <w:rPr>
                <w:rFonts w:ascii="Arial" w:eastAsia="Times New Roman" w:hAnsi="Arial" w:cs="Arial"/>
                <w:color w:val="333333"/>
                <w:sz w:val="24"/>
                <w:szCs w:val="24"/>
                <w:lang w:eastAsia="en-GB"/>
              </w:rPr>
              <w:t>somechildren</w:t>
            </w:r>
            <w:proofErr w:type="spellEnd"/>
            <w:r w:rsidRPr="00DB59B0">
              <w:rPr>
                <w:rFonts w:ascii="Arial" w:eastAsia="Times New Roman" w:hAnsi="Arial" w:cs="Arial"/>
                <w:color w:val="333333"/>
                <w:sz w:val="24"/>
                <w:szCs w:val="24"/>
                <w:lang w:eastAsia="en-GB"/>
              </w:rPr>
              <w:t xml:space="preserve"> until they are no longer excreting</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Further exclusion is required for children aged five years or younger and those who have difficulty in adhering to hygiene practices. Children in these categories should be excluded until there is evidence of microbiological clearance. This guidance may also apply to some contacts who may also require microbiological clearance. Please consult your local PHE centre for </w:t>
            </w:r>
            <w:proofErr w:type="spellStart"/>
            <w:r w:rsidRPr="00DB59B0">
              <w:rPr>
                <w:rFonts w:ascii="Arial" w:eastAsia="Times New Roman" w:hAnsi="Arial" w:cs="Arial"/>
                <w:color w:val="333333"/>
                <w:sz w:val="24"/>
                <w:szCs w:val="24"/>
                <w:lang w:eastAsia="en-GB"/>
              </w:rPr>
              <w:t>furtheradvice</w:t>
            </w:r>
            <w:proofErr w:type="spellEnd"/>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Cryptosporidiosis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Exclude for 48 hours from the last episode </w:t>
            </w:r>
            <w:proofErr w:type="spellStart"/>
            <w:r w:rsidRPr="00DB59B0">
              <w:rPr>
                <w:rFonts w:ascii="Arial" w:eastAsia="Times New Roman" w:hAnsi="Arial" w:cs="Arial"/>
                <w:color w:val="333333"/>
                <w:sz w:val="24"/>
                <w:szCs w:val="24"/>
                <w:lang w:eastAsia="en-GB"/>
              </w:rPr>
              <w:t>ofdiarrhoea</w:t>
            </w:r>
            <w:proofErr w:type="spellEnd"/>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Exclusion from swimming is advisable for two weeks after the diarrhoea has settled</w:t>
            </w:r>
          </w:p>
        </w:tc>
      </w:tr>
    </w:tbl>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proofErr w:type="spellStart"/>
      <w:r w:rsidRPr="00DB59B0">
        <w:rPr>
          <w:rFonts w:ascii="Arial" w:eastAsia="Times New Roman" w:hAnsi="Arial" w:cs="Arial"/>
          <w:b/>
          <w:bCs/>
          <w:sz w:val="24"/>
          <w:szCs w:val="24"/>
          <w:u w:val="single"/>
          <w:lang w:eastAsia="en-GB"/>
        </w:rPr>
        <w:t>Diarhoea</w:t>
      </w:r>
      <w:proofErr w:type="spellEnd"/>
      <w:r w:rsidRPr="00DB59B0">
        <w:rPr>
          <w:rFonts w:ascii="Arial" w:eastAsia="Times New Roman" w:hAnsi="Arial" w:cs="Arial"/>
          <w:b/>
          <w:bCs/>
          <w:sz w:val="24"/>
          <w:szCs w:val="24"/>
          <w:u w:val="single"/>
          <w:lang w:eastAsia="en-GB"/>
        </w:rPr>
        <w:t xml:space="preserve"> and vomiting illness</w:t>
      </w:r>
    </w:p>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sz w:val="24"/>
          <w:szCs w:val="24"/>
          <w:lang w:eastAsia="en-GB"/>
        </w:rPr>
        <w:t> </w:t>
      </w:r>
    </w:p>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b/>
          <w:bCs/>
          <w:sz w:val="24"/>
          <w:szCs w:val="24"/>
          <w:u w:val="single"/>
          <w:lang w:eastAsia="en-GB"/>
        </w:rPr>
        <w:t>Respiratory infections</w:t>
      </w:r>
    </w:p>
    <w:tbl>
      <w:tblPr>
        <w:tblW w:w="10515" w:type="dxa"/>
        <w:tblInd w:w="-750"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2954"/>
        <w:gridCol w:w="5204"/>
      </w:tblGrid>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lang w:eastAsia="en-GB"/>
              </w:rPr>
              <w:t>Infection or complaint</w:t>
            </w:r>
          </w:p>
        </w:tc>
        <w:tc>
          <w:tcPr>
            <w:tcW w:w="295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lang w:eastAsia="en-GB"/>
              </w:rPr>
              <w:t xml:space="preserve">Recommended period to be kept away from school, nursery </w:t>
            </w:r>
            <w:proofErr w:type="spellStart"/>
            <w:r w:rsidRPr="00DB59B0">
              <w:rPr>
                <w:rFonts w:ascii="Arial" w:eastAsia="Times New Roman" w:hAnsi="Arial" w:cs="Arial"/>
                <w:b/>
                <w:bCs/>
                <w:color w:val="FFFFFF"/>
                <w:sz w:val="24"/>
                <w:szCs w:val="24"/>
                <w:lang w:eastAsia="en-GB"/>
              </w:rPr>
              <w:t>orchildminders</w:t>
            </w:r>
            <w:proofErr w:type="spellEnd"/>
          </w:p>
        </w:tc>
        <w:tc>
          <w:tcPr>
            <w:tcW w:w="520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lang w:eastAsia="en-GB"/>
              </w:rPr>
              <w:t>Comments</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Flu (influenza)</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Until recovered</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i/>
                <w:iCs/>
                <w:color w:val="333333"/>
                <w:sz w:val="24"/>
                <w:szCs w:val="24"/>
                <w:lang w:eastAsia="en-GB"/>
              </w:rPr>
              <w:t>See: Vulnerable Children</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Tuberculosis*</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Always consult your local PHE centre</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Requires prolonged close contact for spread</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Whooping cough* (pertussis)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Five days from starting antibiotic treatment, or21 days from onset </w:t>
            </w:r>
            <w:proofErr w:type="spellStart"/>
            <w:r w:rsidRPr="00DB59B0">
              <w:rPr>
                <w:rFonts w:ascii="Arial" w:eastAsia="Times New Roman" w:hAnsi="Arial" w:cs="Arial"/>
                <w:color w:val="333333"/>
                <w:sz w:val="24"/>
                <w:szCs w:val="24"/>
                <w:lang w:eastAsia="en-GB"/>
              </w:rPr>
              <w:t>ofillness</w:t>
            </w:r>
            <w:proofErr w:type="spellEnd"/>
            <w:r w:rsidRPr="00DB59B0">
              <w:rPr>
                <w:rFonts w:ascii="Arial" w:eastAsia="Times New Roman" w:hAnsi="Arial" w:cs="Arial"/>
                <w:color w:val="333333"/>
                <w:sz w:val="24"/>
                <w:szCs w:val="24"/>
                <w:lang w:eastAsia="en-GB"/>
              </w:rPr>
              <w:t xml:space="preserve"> if no antibiotic treatment</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Preventable by vaccination. After treatment, non-infectious coughing may continue for many weeks. Your local PHE centre will organise any contact tracing necessary</w:t>
            </w:r>
          </w:p>
        </w:tc>
      </w:tr>
    </w:tbl>
    <w:p w:rsid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sz w:val="24"/>
          <w:szCs w:val="24"/>
          <w:lang w:eastAsia="en-GB"/>
        </w:rPr>
        <w:t> </w:t>
      </w:r>
    </w:p>
    <w:p w:rsid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p>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p>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b/>
          <w:bCs/>
          <w:sz w:val="24"/>
          <w:szCs w:val="24"/>
          <w:u w:val="single"/>
          <w:lang w:eastAsia="en-GB"/>
        </w:rPr>
        <w:t>O</w:t>
      </w:r>
      <w:r w:rsidRPr="00DB59B0">
        <w:rPr>
          <w:rFonts w:ascii="Arial" w:eastAsia="Times New Roman" w:hAnsi="Arial" w:cs="Arial"/>
          <w:b/>
          <w:bCs/>
          <w:sz w:val="24"/>
          <w:szCs w:val="24"/>
          <w:lang w:eastAsia="en-GB"/>
        </w:rPr>
        <w:t>ther infections</w:t>
      </w:r>
    </w:p>
    <w:tbl>
      <w:tblPr>
        <w:tblW w:w="10515" w:type="dxa"/>
        <w:tblInd w:w="-750"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2954"/>
        <w:gridCol w:w="5204"/>
      </w:tblGrid>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Infection or complaint</w:t>
            </w:r>
          </w:p>
        </w:tc>
        <w:tc>
          <w:tcPr>
            <w:tcW w:w="295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 xml:space="preserve">Recommended period to be kept away from school, nursery </w:t>
            </w:r>
            <w:proofErr w:type="spellStart"/>
            <w:r w:rsidRPr="00DB59B0">
              <w:rPr>
                <w:rFonts w:ascii="Arial" w:eastAsia="Times New Roman" w:hAnsi="Arial" w:cs="Arial"/>
                <w:b/>
                <w:bCs/>
                <w:color w:val="FFFFFF"/>
                <w:sz w:val="24"/>
                <w:szCs w:val="24"/>
                <w:u w:val="single"/>
                <w:lang w:eastAsia="en-GB"/>
              </w:rPr>
              <w:t>orchild</w:t>
            </w:r>
            <w:proofErr w:type="spellEnd"/>
            <w:r w:rsidRPr="00DB59B0">
              <w:rPr>
                <w:rFonts w:ascii="Arial" w:eastAsia="Times New Roman" w:hAnsi="Arial" w:cs="Arial"/>
                <w:b/>
                <w:bCs/>
                <w:color w:val="FFFFFF"/>
                <w:sz w:val="24"/>
                <w:szCs w:val="24"/>
                <w:u w:val="single"/>
                <w:lang w:eastAsia="en-GB"/>
              </w:rPr>
              <w:t xml:space="preserve"> minders</w:t>
            </w:r>
          </w:p>
        </w:tc>
        <w:tc>
          <w:tcPr>
            <w:tcW w:w="520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u w:val="single"/>
                <w:lang w:eastAsia="en-GB"/>
              </w:rPr>
              <w:t>Comme</w:t>
            </w:r>
            <w:r w:rsidRPr="00DB59B0">
              <w:rPr>
                <w:rFonts w:ascii="Arial" w:eastAsia="Times New Roman" w:hAnsi="Arial" w:cs="Arial"/>
                <w:b/>
                <w:bCs/>
                <w:color w:val="FFFFFF"/>
                <w:sz w:val="24"/>
                <w:szCs w:val="24"/>
                <w:lang w:eastAsia="en-GB"/>
              </w:rPr>
              <w:t>nts</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Conjunctivitis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If an outbreak/cluster occurs, consult your local PHE centre</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Diphtheria *</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Exclusion is essential. Always consult with your local HPT</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Family contacts must be excluded until cleared to return by your local PHE centre. Preventable by vaccination. Your local PHE centre will organise any contact </w:t>
            </w:r>
            <w:proofErr w:type="spellStart"/>
            <w:r w:rsidRPr="00DB59B0">
              <w:rPr>
                <w:rFonts w:ascii="Arial" w:eastAsia="Times New Roman" w:hAnsi="Arial" w:cs="Arial"/>
                <w:color w:val="333333"/>
                <w:sz w:val="24"/>
                <w:szCs w:val="24"/>
                <w:lang w:eastAsia="en-GB"/>
              </w:rPr>
              <w:t>tracingnecessary</w:t>
            </w:r>
            <w:proofErr w:type="spellEnd"/>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Glandular fever</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Head lice</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Treatment is recommended only in cases where live lice have been seen</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Hepatitis A*</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Exclude until seven days after onset of jaundice(or seven days after symptom onset if </w:t>
            </w:r>
            <w:proofErr w:type="spellStart"/>
            <w:r w:rsidRPr="00DB59B0">
              <w:rPr>
                <w:rFonts w:ascii="Arial" w:eastAsia="Times New Roman" w:hAnsi="Arial" w:cs="Arial"/>
                <w:color w:val="333333"/>
                <w:sz w:val="24"/>
                <w:szCs w:val="24"/>
                <w:lang w:eastAsia="en-GB"/>
              </w:rPr>
              <w:t>nojaundice</w:t>
            </w:r>
            <w:proofErr w:type="spellEnd"/>
            <w:r w:rsidRPr="00DB59B0">
              <w:rPr>
                <w:rFonts w:ascii="Arial" w:eastAsia="Times New Roman" w:hAnsi="Arial" w:cs="Arial"/>
                <w:color w:val="333333"/>
                <w:sz w:val="24"/>
                <w:szCs w:val="24"/>
                <w:lang w:eastAsia="en-GB"/>
              </w:rPr>
              <w:t>)</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In an outbreak of hepatitis A, your local </w:t>
            </w:r>
            <w:proofErr w:type="spellStart"/>
            <w:r w:rsidRPr="00DB59B0">
              <w:rPr>
                <w:rFonts w:ascii="Arial" w:eastAsia="Times New Roman" w:hAnsi="Arial" w:cs="Arial"/>
                <w:color w:val="333333"/>
                <w:sz w:val="24"/>
                <w:szCs w:val="24"/>
                <w:lang w:eastAsia="en-GB"/>
              </w:rPr>
              <w:t>PHEcentre</w:t>
            </w:r>
            <w:proofErr w:type="spellEnd"/>
            <w:r w:rsidRPr="00DB59B0">
              <w:rPr>
                <w:rFonts w:ascii="Arial" w:eastAsia="Times New Roman" w:hAnsi="Arial" w:cs="Arial"/>
                <w:color w:val="333333"/>
                <w:sz w:val="24"/>
                <w:szCs w:val="24"/>
                <w:lang w:eastAsia="en-GB"/>
              </w:rPr>
              <w:t xml:space="preserve"> will advise on control measures</w:t>
            </w:r>
          </w:p>
        </w:tc>
      </w:tr>
    </w:tbl>
    <w:p w:rsidR="00DB59B0" w:rsidRPr="00DB59B0" w:rsidRDefault="00DB59B0" w:rsidP="00DB59B0">
      <w:pPr>
        <w:spacing w:after="0" w:line="240" w:lineRule="auto"/>
        <w:rPr>
          <w:rFonts w:ascii="Times New Roman" w:eastAsia="Times New Roman" w:hAnsi="Times New Roman" w:cs="Times New Roman"/>
          <w:vanish/>
          <w:sz w:val="24"/>
          <w:szCs w:val="24"/>
          <w:lang w:eastAsia="en-GB"/>
        </w:rPr>
      </w:pPr>
    </w:p>
    <w:tbl>
      <w:tblPr>
        <w:tblW w:w="10515" w:type="dxa"/>
        <w:tblInd w:w="-750"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2954"/>
        <w:gridCol w:w="5204"/>
      </w:tblGrid>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b/>
                <w:bCs/>
                <w:color w:val="FFFFFF"/>
                <w:sz w:val="24"/>
                <w:szCs w:val="24"/>
                <w:lang w:eastAsia="en-GB"/>
              </w:rPr>
              <w:t>Hepatitis B*, C*, HIV/AIDS</w:t>
            </w:r>
          </w:p>
        </w:tc>
        <w:tc>
          <w:tcPr>
            <w:tcW w:w="295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color w:val="FFFFFF"/>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363C93"/>
            <w:vAlign w:val="center"/>
            <w:hideMark/>
          </w:tcPr>
          <w:p w:rsidR="00DB59B0" w:rsidRPr="00DB59B0" w:rsidRDefault="00DB59B0" w:rsidP="00DB59B0">
            <w:pPr>
              <w:spacing w:after="0" w:line="240" w:lineRule="auto"/>
              <w:rPr>
                <w:rFonts w:ascii="Arial" w:eastAsia="Times New Roman" w:hAnsi="Arial" w:cs="Arial"/>
                <w:color w:val="FFFFFF"/>
                <w:sz w:val="24"/>
                <w:szCs w:val="24"/>
                <w:lang w:eastAsia="en-GB"/>
              </w:rPr>
            </w:pPr>
            <w:r w:rsidRPr="00DB59B0">
              <w:rPr>
                <w:rFonts w:ascii="Arial" w:eastAsia="Times New Roman" w:hAnsi="Arial" w:cs="Arial"/>
                <w:color w:val="FFFFFF"/>
                <w:sz w:val="24"/>
                <w:szCs w:val="24"/>
                <w:lang w:eastAsia="en-GB"/>
              </w:rPr>
              <w:t xml:space="preserve">Hepatitis B and C and HIV are </w:t>
            </w:r>
            <w:proofErr w:type="spellStart"/>
            <w:r w:rsidRPr="00DB59B0">
              <w:rPr>
                <w:rFonts w:ascii="Arial" w:eastAsia="Times New Roman" w:hAnsi="Arial" w:cs="Arial"/>
                <w:color w:val="FFFFFF"/>
                <w:sz w:val="24"/>
                <w:szCs w:val="24"/>
                <w:lang w:eastAsia="en-GB"/>
              </w:rPr>
              <w:t>bloodborne</w:t>
            </w:r>
            <w:proofErr w:type="spellEnd"/>
            <w:r w:rsidRPr="00DB59B0">
              <w:rPr>
                <w:rFonts w:ascii="Arial" w:eastAsia="Times New Roman" w:hAnsi="Arial" w:cs="Arial"/>
                <w:color w:val="FFFFFF"/>
                <w:sz w:val="24"/>
                <w:szCs w:val="24"/>
                <w:lang w:eastAsia="en-GB"/>
              </w:rPr>
              <w:t xml:space="preserve"> viruses that are not infectious through casual contact. For cleaning of body fluid spills </w:t>
            </w:r>
            <w:proofErr w:type="spellStart"/>
            <w:r w:rsidRPr="00DB59B0">
              <w:rPr>
                <w:rFonts w:ascii="Arial" w:eastAsia="Times New Roman" w:hAnsi="Arial" w:cs="Arial"/>
                <w:color w:val="FFFFFF"/>
                <w:sz w:val="24"/>
                <w:szCs w:val="24"/>
                <w:lang w:eastAsia="en-GB"/>
              </w:rPr>
              <w:t>s</w:t>
            </w:r>
            <w:r w:rsidRPr="00DB59B0">
              <w:rPr>
                <w:rFonts w:ascii="Arial" w:eastAsia="Times New Roman" w:hAnsi="Arial" w:cs="Arial"/>
                <w:i/>
                <w:iCs/>
                <w:color w:val="FFFFFF"/>
                <w:sz w:val="24"/>
                <w:szCs w:val="24"/>
                <w:lang w:eastAsia="en-GB"/>
              </w:rPr>
              <w:t>ee:Good</w:t>
            </w:r>
            <w:proofErr w:type="spellEnd"/>
            <w:r w:rsidRPr="00DB59B0">
              <w:rPr>
                <w:rFonts w:ascii="Arial" w:eastAsia="Times New Roman" w:hAnsi="Arial" w:cs="Arial"/>
                <w:i/>
                <w:iCs/>
                <w:color w:val="FFFFFF"/>
                <w:sz w:val="24"/>
                <w:szCs w:val="24"/>
                <w:lang w:eastAsia="en-GB"/>
              </w:rPr>
              <w:t xml:space="preserve"> Hygiene Practice</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Meningococcal meningitis*/ septicaemia*</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Until recovered</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w:t>
            </w:r>
            <w:proofErr w:type="spellStart"/>
            <w:r w:rsidRPr="00DB59B0">
              <w:rPr>
                <w:rFonts w:ascii="Arial" w:eastAsia="Times New Roman" w:hAnsi="Arial" w:cs="Arial"/>
                <w:color w:val="333333"/>
                <w:sz w:val="24"/>
                <w:szCs w:val="24"/>
                <w:lang w:eastAsia="en-GB"/>
              </w:rPr>
              <w:t>isneeded</w:t>
            </w:r>
            <w:proofErr w:type="spellEnd"/>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Meningitis* due to other bacteria</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Until recovered</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Hib and pneumococcal meningitis are preventable by vaccination. There is no reason to exclude siblings or other close contacts of a case. Your local PHE centre </w:t>
            </w:r>
            <w:proofErr w:type="spellStart"/>
            <w:r w:rsidRPr="00DB59B0">
              <w:rPr>
                <w:rFonts w:ascii="Arial" w:eastAsia="Times New Roman" w:hAnsi="Arial" w:cs="Arial"/>
                <w:color w:val="333333"/>
                <w:sz w:val="24"/>
                <w:szCs w:val="24"/>
                <w:lang w:eastAsia="en-GB"/>
              </w:rPr>
              <w:t>willgive</w:t>
            </w:r>
            <w:proofErr w:type="spellEnd"/>
            <w:r w:rsidRPr="00DB59B0">
              <w:rPr>
                <w:rFonts w:ascii="Arial" w:eastAsia="Times New Roman" w:hAnsi="Arial" w:cs="Arial"/>
                <w:color w:val="333333"/>
                <w:sz w:val="24"/>
                <w:szCs w:val="24"/>
                <w:lang w:eastAsia="en-GB"/>
              </w:rPr>
              <w:t xml:space="preserve"> advice on any action needed</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Meningitis viral</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Milder illness. There is no reason to exclude siblings and other close contacts of a case. Contact tracing is not required</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MRSA</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 xml:space="preserve">Good hygiene, in particular handwashing and environmental cleaning, are important to minimise any danger of spread. If further information is required, contact your </w:t>
            </w:r>
            <w:proofErr w:type="spellStart"/>
            <w:r w:rsidRPr="00DB59B0">
              <w:rPr>
                <w:rFonts w:ascii="Arial" w:eastAsia="Times New Roman" w:hAnsi="Arial" w:cs="Arial"/>
                <w:color w:val="333333"/>
                <w:sz w:val="24"/>
                <w:szCs w:val="24"/>
                <w:lang w:eastAsia="en-GB"/>
              </w:rPr>
              <w:t>localPHE</w:t>
            </w:r>
            <w:proofErr w:type="spellEnd"/>
            <w:r w:rsidRPr="00DB59B0">
              <w:rPr>
                <w:rFonts w:ascii="Arial" w:eastAsia="Times New Roman" w:hAnsi="Arial" w:cs="Arial"/>
                <w:color w:val="333333"/>
                <w:sz w:val="24"/>
                <w:szCs w:val="24"/>
                <w:lang w:eastAsia="en-GB"/>
              </w:rPr>
              <w:t xml:space="preserve"> centre</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lastRenderedPageBreak/>
              <w:t>Mumps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Exclude child for five days after onset of swelling</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Preventable by vaccination (MMR x2 doses)</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Threadworms</w:t>
            </w:r>
          </w:p>
        </w:tc>
        <w:tc>
          <w:tcPr>
            <w:tcW w:w="295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Treatment is recommended for the child and household contacts</w:t>
            </w:r>
          </w:p>
        </w:tc>
      </w:tr>
      <w:tr w:rsidR="00DB59B0" w:rsidRPr="00DB59B0" w:rsidTr="00DB59B0">
        <w:tc>
          <w:tcPr>
            <w:tcW w:w="2357"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b/>
                <w:bCs/>
                <w:color w:val="333333"/>
                <w:sz w:val="24"/>
                <w:szCs w:val="24"/>
                <w:lang w:eastAsia="en-GB"/>
              </w:rPr>
              <w:t>Tonsillitis</w:t>
            </w:r>
          </w:p>
        </w:tc>
        <w:tc>
          <w:tcPr>
            <w:tcW w:w="295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None</w:t>
            </w:r>
          </w:p>
        </w:tc>
        <w:tc>
          <w:tcPr>
            <w:tcW w:w="520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rsidR="00DB59B0" w:rsidRPr="00DB59B0" w:rsidRDefault="00DB59B0" w:rsidP="00DB59B0">
            <w:pPr>
              <w:spacing w:after="0" w:line="240" w:lineRule="auto"/>
              <w:rPr>
                <w:rFonts w:ascii="Arial" w:eastAsia="Times New Roman" w:hAnsi="Arial" w:cs="Arial"/>
                <w:color w:val="333333"/>
                <w:sz w:val="24"/>
                <w:szCs w:val="24"/>
                <w:lang w:eastAsia="en-GB"/>
              </w:rPr>
            </w:pPr>
            <w:r w:rsidRPr="00DB59B0">
              <w:rPr>
                <w:rFonts w:ascii="Arial" w:eastAsia="Times New Roman" w:hAnsi="Arial" w:cs="Arial"/>
                <w:color w:val="333333"/>
                <w:sz w:val="24"/>
                <w:szCs w:val="24"/>
                <w:lang w:eastAsia="en-GB"/>
              </w:rPr>
              <w:t>There are many causes, but most cases are due to viruses and do not need an antibiotic</w:t>
            </w:r>
          </w:p>
        </w:tc>
      </w:tr>
    </w:tbl>
    <w:p w:rsidR="00DB59B0" w:rsidRPr="00DB59B0" w:rsidRDefault="00DB59B0" w:rsidP="00DB59B0">
      <w:pPr>
        <w:shd w:val="clear" w:color="auto" w:fill="FFFFFF"/>
        <w:spacing w:before="100" w:beforeAutospacing="1" w:after="100" w:afterAutospacing="1" w:line="240" w:lineRule="auto"/>
        <w:rPr>
          <w:rFonts w:ascii="Arial" w:eastAsia="Times New Roman" w:hAnsi="Arial" w:cs="Arial"/>
          <w:sz w:val="24"/>
          <w:szCs w:val="24"/>
          <w:lang w:eastAsia="en-GB"/>
        </w:rPr>
      </w:pPr>
      <w:r w:rsidRPr="00DB59B0">
        <w:rPr>
          <w:rFonts w:ascii="Arial" w:eastAsia="Times New Roman" w:hAnsi="Arial" w:cs="Arial"/>
          <w:sz w:val="24"/>
          <w:szCs w:val="24"/>
          <w:lang w:eastAsia="en-GB"/>
        </w:rPr>
        <w:t>This Table was taken from </w:t>
      </w:r>
      <w:hyperlink r:id="rId6" w:history="1">
        <w:r w:rsidRPr="00DB59B0">
          <w:rPr>
            <w:rFonts w:ascii="Arial" w:eastAsia="Times New Roman" w:hAnsi="Arial" w:cs="Arial"/>
            <w:color w:val="363C93"/>
            <w:sz w:val="27"/>
            <w:szCs w:val="27"/>
            <w:lang w:eastAsia="en-GB"/>
          </w:rPr>
          <w:t>Public Health England’s Website</w:t>
        </w:r>
      </w:hyperlink>
      <w:r w:rsidRPr="00DB59B0">
        <w:rPr>
          <w:rFonts w:ascii="Arial" w:eastAsia="Times New Roman" w:hAnsi="Arial" w:cs="Arial"/>
          <w:sz w:val="24"/>
          <w:szCs w:val="24"/>
          <w:lang w:eastAsia="en-GB"/>
        </w:rPr>
        <w:t>.</w:t>
      </w:r>
    </w:p>
    <w:p w:rsidR="001A6C4E" w:rsidRDefault="001A6C4E"/>
    <w:sectPr w:rsidR="001A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B0"/>
    <w:rsid w:val="001A6C4E"/>
    <w:rsid w:val="00DB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23F13-1CD4-4400-9732-717A862C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353953/Guidance_on_infection_control_in_schools_11_Sept.pdf" TargetMode="External"/><Relationship Id="rId5" Type="http://schemas.openxmlformats.org/officeDocument/2006/relationships/hyperlink" Target="https://www.gov.uk/government/collections/immunisation-against-infectious-disease-the-green-book" TargetMode="External"/><Relationship Id="rId4" Type="http://schemas.openxmlformats.org/officeDocument/2006/relationships/hyperlink" Target="https://www.gov.uk/government/uploads/system/uploads/attachment_data/file/353953/Guidance_on_infection_control_in_schools_11_Se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Elaine Mannix</cp:lastModifiedBy>
  <cp:revision>1</cp:revision>
  <dcterms:created xsi:type="dcterms:W3CDTF">2019-09-19T18:51:00Z</dcterms:created>
  <dcterms:modified xsi:type="dcterms:W3CDTF">2019-09-19T18:56:00Z</dcterms:modified>
</cp:coreProperties>
</file>